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BD1DD0" w:rsidP="00582B40" w14:paraId="5606BE5D" w14:textId="5BC1DC83">
      <w:pPr>
        <w:spacing w:after="0" w:line="480" w:lineRule="auto"/>
        <w:jc w:val="center"/>
        <w:rPr>
          <w:rFonts w:ascii="Times New Roman" w:hAnsi="Times New Roman" w:cs="Times New Roman"/>
          <w:sz w:val="24"/>
          <w:szCs w:val="24"/>
        </w:rPr>
      </w:pPr>
    </w:p>
    <w:p w:rsidR="00BD1DD0" w:rsidP="00582B40" w14:paraId="3735688E" w14:textId="16F8D6B2">
      <w:pPr>
        <w:spacing w:after="0" w:line="480" w:lineRule="auto"/>
        <w:jc w:val="center"/>
        <w:rPr>
          <w:rFonts w:ascii="Times New Roman" w:hAnsi="Times New Roman" w:cs="Times New Roman"/>
          <w:sz w:val="24"/>
          <w:szCs w:val="24"/>
        </w:rPr>
      </w:pPr>
    </w:p>
    <w:p w:rsidR="00BD1DD0" w:rsidP="00582B40" w14:paraId="63512C99" w14:textId="3C28E3CA">
      <w:pPr>
        <w:spacing w:after="0" w:line="480" w:lineRule="auto"/>
        <w:jc w:val="center"/>
        <w:rPr>
          <w:rFonts w:ascii="Times New Roman" w:hAnsi="Times New Roman" w:cs="Times New Roman"/>
          <w:sz w:val="24"/>
          <w:szCs w:val="24"/>
        </w:rPr>
      </w:pPr>
    </w:p>
    <w:p w:rsidR="00BD1DD0" w:rsidP="00582B40" w14:paraId="07B7A00B" w14:textId="2A836970">
      <w:pPr>
        <w:spacing w:after="0" w:line="480" w:lineRule="auto"/>
        <w:jc w:val="center"/>
        <w:rPr>
          <w:rFonts w:ascii="Times New Roman" w:hAnsi="Times New Roman" w:cs="Times New Roman"/>
          <w:sz w:val="24"/>
          <w:szCs w:val="24"/>
        </w:rPr>
      </w:pPr>
    </w:p>
    <w:p w:rsidR="00BD1DD0" w:rsidP="00582B40" w14:paraId="0E70C44F" w14:textId="1727BD47">
      <w:pPr>
        <w:spacing w:after="0" w:line="480" w:lineRule="auto"/>
        <w:jc w:val="center"/>
        <w:rPr>
          <w:rFonts w:ascii="Times New Roman" w:hAnsi="Times New Roman" w:cs="Times New Roman"/>
          <w:sz w:val="24"/>
          <w:szCs w:val="24"/>
        </w:rPr>
      </w:pPr>
    </w:p>
    <w:p w:rsidR="00BD1DD0" w:rsidP="00582B40" w14:paraId="6A951792" w14:textId="74B62084">
      <w:pPr>
        <w:spacing w:after="0" w:line="480" w:lineRule="auto"/>
        <w:jc w:val="center"/>
        <w:rPr>
          <w:rFonts w:ascii="Times New Roman" w:hAnsi="Times New Roman" w:cs="Times New Roman"/>
          <w:sz w:val="24"/>
          <w:szCs w:val="24"/>
        </w:rPr>
      </w:pPr>
    </w:p>
    <w:p w:rsidR="00BD1DD0" w:rsidP="00582B40" w14:paraId="0A0A580D" w14:textId="49E09402">
      <w:pPr>
        <w:spacing w:after="0" w:line="480" w:lineRule="auto"/>
        <w:jc w:val="center"/>
        <w:rPr>
          <w:rFonts w:ascii="Times New Roman" w:hAnsi="Times New Roman" w:cs="Times New Roman"/>
          <w:sz w:val="24"/>
          <w:szCs w:val="24"/>
        </w:rPr>
      </w:pPr>
    </w:p>
    <w:p w:rsidR="00BD1DD0" w:rsidP="00582B40" w14:paraId="479AEDCA" w14:textId="77777777">
      <w:pPr>
        <w:spacing w:after="0" w:line="480" w:lineRule="auto"/>
        <w:jc w:val="center"/>
        <w:rPr>
          <w:rFonts w:ascii="Times New Roman" w:hAnsi="Times New Roman" w:cs="Times New Roman"/>
          <w:sz w:val="24"/>
          <w:szCs w:val="24"/>
        </w:rPr>
      </w:pPr>
    </w:p>
    <w:p w:rsidR="00582B40" w:rsidP="00582B40" w14:paraId="189B8B72" w14:textId="6D14E79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Federal Laws that Influence Total Compensation</w:t>
      </w:r>
    </w:p>
    <w:p w:rsidR="00582B40" w:rsidP="00582B40" w14:paraId="22414C63"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82B40" w:rsidP="00BD1DD0" w14:paraId="3C100FB9" w14:textId="5B59B36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BD1DD0">
        <w:rPr>
          <w:rFonts w:ascii="Times New Roman" w:hAnsi="Times New Roman" w:cs="Times New Roman"/>
          <w:sz w:val="24"/>
          <w:szCs w:val="24"/>
        </w:rPr>
        <w:t>s</w:t>
      </w:r>
    </w:p>
    <w:p w:rsidR="00BD1DD0" w:rsidP="00582B40" w14:paraId="211EB3D9" w14:textId="77777777">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br w:type="page"/>
      </w:r>
    </w:p>
    <w:p w:rsidR="00582B40" w:rsidP="00582B40" w14:paraId="4F37F257" w14:textId="135AE56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Federal Laws that Influence Total Compensation</w:t>
      </w:r>
    </w:p>
    <w:p w:rsidR="00F224A5" w:rsidP="00582B40" w14:paraId="3058CE0C" w14:textId="77777777">
      <w:pPr>
        <w:spacing w:after="0" w:line="480" w:lineRule="auto"/>
        <w:ind w:firstLine="720"/>
        <w:rPr>
          <w:rFonts w:ascii="Times New Roman" w:hAnsi="Times New Roman" w:cs="Times New Roman"/>
          <w:sz w:val="24"/>
          <w:szCs w:val="24"/>
        </w:rPr>
      </w:pPr>
      <w:r w:rsidRPr="00582B40">
        <w:rPr>
          <w:rFonts w:ascii="Times New Roman" w:hAnsi="Times New Roman" w:cs="Times New Roman"/>
          <w:sz w:val="24"/>
          <w:szCs w:val="24"/>
        </w:rPr>
        <w:t xml:space="preserve">Some of the key Federal laws and regulations that influence total compensation in the United States include The Fair Labor Standards Act and The Equal Pay Act. </w:t>
      </w:r>
    </w:p>
    <w:p w:rsidR="00F224A5" w:rsidP="00582B40" w14:paraId="59E55F0D" w14:textId="77777777">
      <w:pPr>
        <w:spacing w:after="0" w:line="480" w:lineRule="auto"/>
        <w:ind w:firstLine="720"/>
        <w:rPr>
          <w:rFonts w:ascii="Times New Roman" w:hAnsi="Times New Roman" w:cs="Times New Roman"/>
          <w:sz w:val="24"/>
          <w:szCs w:val="24"/>
        </w:rPr>
      </w:pPr>
      <w:r w:rsidRPr="00582B40">
        <w:rPr>
          <w:rFonts w:ascii="Times New Roman" w:hAnsi="Times New Roman" w:cs="Times New Roman"/>
          <w:sz w:val="24"/>
          <w:szCs w:val="24"/>
        </w:rPr>
        <w:t xml:space="preserve">The Fair Labor Standards Act of 1938 provides the five main aspects of compensation programs that a company could use. The five aspects include child labor, minimum wages, overtime pay, record keeping requirements and equal pay. According to Cahn and Donald (2010), The Fair Labor Standards Act is important to both public and private enterprises because it highlights the policy framework that a total compensation plan should be followed. </w:t>
      </w:r>
    </w:p>
    <w:p w:rsidR="00582B40" w:rsidRPr="00582B40" w:rsidP="00582B40" w14:paraId="4F7C5482" w14:textId="77777777">
      <w:pPr>
        <w:spacing w:after="0" w:line="480" w:lineRule="auto"/>
        <w:ind w:firstLine="720"/>
        <w:rPr>
          <w:rFonts w:ascii="Times New Roman" w:hAnsi="Times New Roman" w:cs="Times New Roman"/>
          <w:sz w:val="24"/>
          <w:szCs w:val="24"/>
        </w:rPr>
      </w:pPr>
      <w:r w:rsidRPr="00582B40">
        <w:rPr>
          <w:rFonts w:ascii="Times New Roman" w:hAnsi="Times New Roman" w:cs="Times New Roman"/>
          <w:sz w:val="24"/>
          <w:szCs w:val="24"/>
        </w:rPr>
        <w:t>The provisions of The Fair Labor Standards Act or FLSA have evolved, and today, it covers almost all employers in the United States. Initially, this policy covered only employers with at least to employees. But, this has changed in the recent amendments of the Act, which provided that it should cover all employers including the construction, laundries and dry cleaning businesses irrespective of their volume. However, not all employees are covered under the FLSA regulation. As Cahn and Donald (2010) explain this policy is divided into exempt and nonexempt. Exempt refers to the employees who are not subject to the requirement of the FLSA policy. These kinds of employees are paid fixed salaries irrespective of the hours they have worked. Nonexempt, on the other hand, refers to the employees are subject to the provisions of FLSA regarding the minimum wage. According to Cahn and Donald (2010), FLSA requires that these employees be paid at time and a half for all hours they have worked over forty in a week. 
</w:t>
      </w:r>
    </w:p>
    <w:p w:rsidR="00F224A5" w:rsidP="00BD1DD0" w14:paraId="2A50AE81" w14:textId="7E00D2F3">
      <w:pPr>
        <w:spacing w:after="0" w:line="480" w:lineRule="auto"/>
        <w:ind w:firstLine="720"/>
        <w:rPr>
          <w:rFonts w:ascii="Times New Roman" w:hAnsi="Times New Roman" w:cs="Times New Roman"/>
          <w:sz w:val="24"/>
          <w:szCs w:val="24"/>
        </w:rPr>
      </w:pPr>
      <w:r w:rsidRPr="00582B40">
        <w:rPr>
          <w:rFonts w:ascii="Times New Roman" w:hAnsi="Times New Roman" w:cs="Times New Roman"/>
          <w:sz w:val="24"/>
          <w:szCs w:val="24"/>
        </w:rPr>
        <w:t xml:space="preserve">Another policy is the Equal Pay Act of 1963, which provides the regulations and policy framework on conduct at the workplace. According to Cahn and Donald (2010), the Equal Pay Act identifies different discrimination based on sex for men or women in the workplace. The Equal Pay Act was an amendment of the FLSA in 1963 to prohibit wage differentials between </w:t>
      </w:r>
      <w:r w:rsidRPr="00582B40">
        <w:rPr>
          <w:rFonts w:ascii="Times New Roman" w:hAnsi="Times New Roman" w:cs="Times New Roman"/>
          <w:sz w:val="24"/>
          <w:szCs w:val="24"/>
        </w:rPr>
        <w:t>men and women who are employed by the same organization, require the same skill set and work under the same conditions. This policy is based on three key factors such as skill, effort, and responsibility (Cahn &amp; Donald, 2010). However, the Equal Pay Act does not limit the provisions of seniority systems, merit systems or even pay for performance systems in organizations (Cahn &amp; Donald, 2010). This Act provides that part-time workers need not to be paid similarly as those who work fulltime.
</w:t>
      </w:r>
    </w:p>
    <w:p w:rsidR="00BD1DD0" w:rsidP="00F224A5" w14:paraId="2C4B14FF"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582B40" w:rsidRPr="00582B40" w:rsidP="00F224A5" w14:paraId="74434CB9" w14:textId="24E2CFD0">
      <w:pPr>
        <w:spacing w:after="0" w:line="480" w:lineRule="auto"/>
        <w:jc w:val="center"/>
        <w:rPr>
          <w:rFonts w:ascii="Times New Roman" w:hAnsi="Times New Roman" w:cs="Times New Roman"/>
          <w:sz w:val="24"/>
          <w:szCs w:val="24"/>
        </w:rPr>
      </w:pPr>
      <w:r w:rsidRPr="00582B40">
        <w:rPr>
          <w:rFonts w:ascii="Times New Roman" w:hAnsi="Times New Roman" w:cs="Times New Roman"/>
          <w:sz w:val="24"/>
          <w:szCs w:val="24"/>
        </w:rPr>
        <w:t>Reference</w:t>
      </w:r>
    </w:p>
    <w:p w:rsidR="00582B40" w:rsidRPr="00582B40" w:rsidP="00F224A5" w14:paraId="54E34872" w14:textId="00A99EE8">
      <w:pPr>
        <w:spacing w:after="0" w:line="480" w:lineRule="auto"/>
        <w:ind w:left="720" w:hanging="720"/>
        <w:rPr>
          <w:rFonts w:ascii="Times New Roman" w:hAnsi="Times New Roman" w:cs="Times New Roman"/>
          <w:sz w:val="24"/>
          <w:szCs w:val="24"/>
        </w:rPr>
      </w:pPr>
      <w:r w:rsidRPr="00582B40">
        <w:rPr>
          <w:rFonts w:ascii="Times New Roman" w:hAnsi="Times New Roman" w:cs="Times New Roman"/>
          <w:color w:val="222222"/>
          <w:sz w:val="24"/>
          <w:szCs w:val="24"/>
          <w:shd w:val="clear" w:color="auto" w:fill="FFFFFF"/>
        </w:rPr>
        <w:t>Cahn, A., &amp; Donald, D. C. (2010). </w:t>
      </w:r>
      <w:r w:rsidRPr="00582B40">
        <w:rPr>
          <w:rFonts w:ascii="Times New Roman" w:hAnsi="Times New Roman" w:cs="Times New Roman"/>
          <w:i/>
          <w:iCs/>
          <w:color w:val="222222"/>
          <w:sz w:val="24"/>
          <w:szCs w:val="24"/>
          <w:shd w:val="clear" w:color="auto" w:fill="FFFFFF"/>
        </w:rPr>
        <w:t>Comparative company law: text and cases on the laws governing corporations in Germany, the UK and the USA</w:t>
      </w:r>
      <w:r w:rsidRPr="00582B40">
        <w:rPr>
          <w:rFonts w:ascii="Times New Roman" w:hAnsi="Times New Roman" w:cs="Times New Roman"/>
          <w:color w:val="222222"/>
          <w:sz w:val="24"/>
          <w:szCs w:val="24"/>
          <w:shd w:val="clear" w:color="auto" w:fill="FFFFFF"/>
        </w:rPr>
        <w:t>. Cambridge University Press.</w:t>
      </w:r>
    </w:p>
    <w:sectPr w:rsidSect="00582B4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B40" w:rsidRPr="009938A9" w14:paraId="2C48FE4C" w14:textId="5B05D102">
    <w:pPr>
      <w:pStyle w:val="Header"/>
    </w:pPr>
    <w:r w:rsidRPr="009938A9">
      <w:rPr>
        <w:rFonts w:ascii="Times New Roman" w:hAnsi="Times New Roman" w:cs="Times New Roman"/>
      </w:rPr>
      <w:t>FEDERAL LAWS THAT INFLUENCE TOTAL COMPENSATION</w:t>
    </w:r>
    <w:r w:rsidRPr="009938A9">
      <w:rPr>
        <w:rFonts w:ascii="Times New Roman" w:hAnsi="Times New Roman" w:cs="Times New Roman"/>
      </w:rPr>
      <w:tab/>
    </w:r>
    <w:r w:rsidRPr="009938A9">
      <w:rPr>
        <w:rFonts w:ascii="Times New Roman" w:hAnsi="Times New Roman" w:cs="Times New Roman"/>
      </w:rPr>
      <w:fldChar w:fldCharType="begin"/>
    </w:r>
    <w:r w:rsidRPr="009938A9">
      <w:rPr>
        <w:rFonts w:ascii="Times New Roman" w:hAnsi="Times New Roman" w:cs="Times New Roman"/>
      </w:rPr>
      <w:instrText xml:space="preserve"> PAGE   \* MERGEFORMAT </w:instrText>
    </w:r>
    <w:r w:rsidRPr="009938A9">
      <w:rPr>
        <w:rFonts w:ascii="Times New Roman" w:hAnsi="Times New Roman" w:cs="Times New Roman"/>
      </w:rPr>
      <w:fldChar w:fldCharType="separate"/>
    </w:r>
    <w:r w:rsidRPr="009938A9">
      <w:rPr>
        <w:rFonts w:ascii="Times New Roman" w:hAnsi="Times New Roman" w:cs="Times New Roman"/>
        <w:noProof/>
      </w:rPr>
      <w:t>2</w:t>
    </w:r>
    <w:r w:rsidRPr="009938A9">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82B40" w:rsidRPr="009938A9" w14:paraId="3403E4A7" w14:textId="44C71C79">
    <w:pPr>
      <w:pStyle w:val="Header"/>
      <w:rPr>
        <w:rFonts w:ascii="Times New Roman" w:hAnsi="Times New Roman" w:cs="Times New Roman"/>
      </w:rPr>
    </w:pPr>
    <w:r w:rsidRPr="009938A9">
      <w:rPr>
        <w:rFonts w:ascii="Times New Roman" w:hAnsi="Times New Roman" w:cs="Times New Roman"/>
      </w:rPr>
      <w:t xml:space="preserve">Running head: </w:t>
    </w:r>
    <w:r w:rsidRPr="009938A9" w:rsidR="009938A9">
      <w:rPr>
        <w:rFonts w:ascii="Times New Roman" w:hAnsi="Times New Roman" w:cs="Times New Roman"/>
      </w:rPr>
      <w:t>FEDERAL LAWS THAT INFLUENCE TOTAL COMPENSATION</w:t>
    </w:r>
    <w:r w:rsidRPr="009938A9">
      <w:rPr>
        <w:rFonts w:ascii="Times New Roman" w:hAnsi="Times New Roman" w:cs="Times New Roman"/>
      </w:rPr>
      <w:tab/>
    </w:r>
    <w:r w:rsidRPr="009938A9">
      <w:rPr>
        <w:rFonts w:ascii="Times New Roman" w:hAnsi="Times New Roman" w:cs="Times New Roman"/>
      </w:rPr>
      <w:fldChar w:fldCharType="begin"/>
    </w:r>
    <w:r w:rsidRPr="009938A9">
      <w:rPr>
        <w:rFonts w:ascii="Times New Roman" w:hAnsi="Times New Roman" w:cs="Times New Roman"/>
      </w:rPr>
      <w:instrText xml:space="preserve"> PAGE   \* MERGEFORMAT </w:instrText>
    </w:r>
    <w:r w:rsidRPr="009938A9">
      <w:rPr>
        <w:rFonts w:ascii="Times New Roman" w:hAnsi="Times New Roman" w:cs="Times New Roman"/>
      </w:rPr>
      <w:fldChar w:fldCharType="separate"/>
    </w:r>
    <w:r w:rsidRPr="009938A9" w:rsidR="00F224A5">
      <w:rPr>
        <w:rFonts w:ascii="Times New Roman" w:hAnsi="Times New Roman" w:cs="Times New Roman"/>
        <w:noProof/>
      </w:rPr>
      <w:t>1</w:t>
    </w:r>
    <w:r w:rsidRPr="009938A9">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08527B"/>
    <w:rsid w:val="0008527B"/>
    <w:rsid w:val="000C6F19"/>
    <w:rsid w:val="000F51BB"/>
    <w:rsid w:val="00582B40"/>
    <w:rsid w:val="009938A9"/>
    <w:rsid w:val="00BD1DD0"/>
    <w:rsid w:val="00ED44B6"/>
    <w:rsid w:val="00F224A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2DD2D5E1-9860-45C6-B909-5CFFF37E3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2B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B40"/>
  </w:style>
  <w:style w:type="paragraph" w:styleId="Footer">
    <w:name w:val="footer"/>
    <w:basedOn w:val="Normal"/>
    <w:link w:val="FooterChar"/>
    <w:uiPriority w:val="99"/>
    <w:unhideWhenUsed/>
    <w:rsid w:val="00582B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B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4</Pages>
  <Words>416</Words>
  <Characters>2376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2019-01-17T05:55:00Z</dcterms:created>
  <dcterms:modified xsi:type="dcterms:W3CDTF">2019-01-17T11:37:00Z</dcterms:modified>
</cp:coreProperties>
</file>